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EA91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599F7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3465B7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D308F0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EC8185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E31B411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D5C77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B52118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6770DB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56A6CA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17493D6C" w14:textId="0E9EEF1B" w:rsidR="00B750D0" w:rsidRDefault="00C10C46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Kurikulumu</w:t>
      </w:r>
      <w:r w:rsidR="00B750D0">
        <w:rPr>
          <w:rFonts w:cstheme="minorHAnsi"/>
          <w:b/>
          <w:sz w:val="32"/>
        </w:rPr>
        <w:t xml:space="preserve"> nastavnih predmeta)</w:t>
      </w:r>
    </w:p>
    <w:p w14:paraId="6FC607E3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B298BC1" w14:textId="3C0AE8C8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3E3339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E3E345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69DDD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6F855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5A984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91589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D00E03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5A76B4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CAC0C8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2919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5A8655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455EE7" w14:textId="0442557B" w:rsidR="00B750D0" w:rsidRDefault="00B750D0" w:rsidP="002B7FBC">
      <w:pPr>
        <w:spacing w:after="0" w:line="240" w:lineRule="auto"/>
        <w:ind w:left="-426"/>
        <w:rPr>
          <w:rFonts w:cstheme="minorHAnsi"/>
          <w:b/>
          <w:sz w:val="32"/>
        </w:rPr>
      </w:pPr>
    </w:p>
    <w:p w14:paraId="1009E0A7" w14:textId="77777777" w:rsidR="002B7FBC" w:rsidRDefault="002B7FB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1394FDF" w14:textId="77777777" w:rsidR="00C10C46" w:rsidRDefault="00C10C46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br w:type="page"/>
      </w:r>
    </w:p>
    <w:p w14:paraId="28568DA6" w14:textId="0247A2B3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bookmarkStart w:id="0" w:name="_GoBack"/>
      <w:bookmarkEnd w:id="0"/>
      <w:r w:rsidRPr="00E64D25">
        <w:rPr>
          <w:rFonts w:cstheme="minorHAnsi"/>
          <w:b/>
          <w:sz w:val="32"/>
        </w:rPr>
        <w:t>KRITERIJI PRAĆENJA I OCJENJIVANJA</w:t>
      </w:r>
    </w:p>
    <w:p w14:paraId="1B84E8F5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4E9B5B3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4EC84CC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20AF47C0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7F6048B8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2BD2AEFC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4C8FC201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42126CA4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7DEA5F8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1392057F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63E989EA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115CB95E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2D3FF915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0A435B5F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14FC97" w14:textId="77777777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predmeta u 1. razredu.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212B05B9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0A874E05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03C8D80F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B155A71" w14:textId="77777777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0D3B74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CE67A03" w14:textId="77777777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3CEA7F13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0E38D9E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4BCE00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2B96D028" w14:textId="77777777" w:rsidTr="00CC3D94">
        <w:tc>
          <w:tcPr>
            <w:tcW w:w="3969" w:type="dxa"/>
          </w:tcPr>
          <w:p w14:paraId="0B19C749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76FEE4A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D49ECF7" w14:textId="77777777" w:rsidTr="00CC3D94">
        <w:tc>
          <w:tcPr>
            <w:tcW w:w="3969" w:type="dxa"/>
          </w:tcPr>
          <w:p w14:paraId="53BC612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7CE8E298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16EDABD4" w14:textId="77777777" w:rsidTr="00CC3D94">
        <w:tc>
          <w:tcPr>
            <w:tcW w:w="3969" w:type="dxa"/>
          </w:tcPr>
          <w:p w14:paraId="68146A1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235D9B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D761060" w14:textId="77777777" w:rsidTr="00CC3D94">
        <w:tc>
          <w:tcPr>
            <w:tcW w:w="3969" w:type="dxa"/>
          </w:tcPr>
          <w:p w14:paraId="36E5AAF9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3DCECD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48A9B054" w14:textId="77777777" w:rsidTr="00CC3D94">
        <w:tc>
          <w:tcPr>
            <w:tcW w:w="3969" w:type="dxa"/>
          </w:tcPr>
          <w:p w14:paraId="655F15C7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BD36A8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30DE5BB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5D711CBF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5768BE1A" w14:textId="77777777" w:rsidR="006D0648" w:rsidRPr="00E401B9" w:rsidRDefault="006D0648" w:rsidP="006D0648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14:paraId="6851C8CE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9D08E" wp14:editId="6F02B11F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19050" b="15240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5D7C427" id="Zaobljeni pravokutnik 2" o:spid="_x0000_s1026" style="position:absolute;margin-left:18.55pt;margin-top:.55pt;width:1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" filled="f" strokecolor="#c00000" strokeweight="1pt">
                <v:stroke joinstyle="miter"/>
              </v:roundrect>
            </w:pict>
          </mc:Fallback>
        </mc:AlternateContent>
      </w:r>
      <w:r w:rsidRPr="00E401B9">
        <w:rPr>
          <w:rFonts w:cstheme="minorHAnsi"/>
          <w:sz w:val="24"/>
          <w:szCs w:val="24"/>
        </w:rPr>
        <w:t>51 ∙ 24  : 100 = 12.2 - ocjena dovoljan – 12 - 14 bodova</w:t>
      </w:r>
    </w:p>
    <w:p w14:paraId="24916D1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14:paraId="7A13C90C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 w:rsidR="00C17C57"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14:paraId="6414D78E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 w:rsidR="00C17C57"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14:paraId="0E9E48B7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1F4C9" wp14:editId="4428AD0B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26670" b="11430"/>
                <wp:wrapNone/>
                <wp:docPr id="3" name="Oblačić s crtom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66E44" w14:textId="77777777" w:rsidR="00247150" w:rsidRPr="004967B7" w:rsidRDefault="00247150" w:rsidP="006D06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7B7">
                              <w:rPr>
                                <w:color w:val="000000" w:themeColor="text1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51F4C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3" o:spid="_x0000_s1026" type="#_x0000_t47" style="position:absolute;margin-left:51.55pt;margin-top:6.1pt;width:119.4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" adj="-2744,-13397,45,-812" filled="f" strokecolor="#c00000" strokeweight="1pt">
                <v:textbox>
                  <w:txbxContent>
                    <w:p w14:paraId="58266E44" w14:textId="77777777" w:rsidR="00247150" w:rsidRPr="004967B7" w:rsidRDefault="00247150" w:rsidP="006D06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7B7">
                        <w:rPr>
                          <w:color w:val="000000" w:themeColor="text1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14:paraId="69585E0F" w14:textId="77777777" w:rsidR="006D0648" w:rsidRDefault="006D0648" w:rsidP="006D0648">
      <w:pPr>
        <w:rPr>
          <w:rFonts w:cstheme="minorHAnsi"/>
        </w:rPr>
      </w:pPr>
    </w:p>
    <w:p w14:paraId="7E1D4D85" w14:textId="77777777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533F2FC" w14:textId="77777777" w:rsidR="009162E1" w:rsidRDefault="009162E1" w:rsidP="00997EE6">
      <w:pPr>
        <w:jc w:val="center"/>
        <w:rPr>
          <w:rFonts w:cstheme="minorHAnsi"/>
          <w:b/>
          <w:sz w:val="28"/>
        </w:rPr>
      </w:pPr>
    </w:p>
    <w:p w14:paraId="74FD7733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3AD2CE92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444B985F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14:paraId="23214C7B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F7FC79A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4192C4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04C43E4B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77967405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61EDED8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7FBE753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48A38DA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457E3561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15D2B1CB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4EFB6D4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1E9BD69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5B83651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5ACA438D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1C8E5F67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1CEEAA78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0B0E6BFA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3511A01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5F7D72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7F5C3329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0F23A74E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65D6151B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60F4885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20207D01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6856B3" w14:textId="77777777" w:rsidR="00614DA8" w:rsidRPr="009162E1" w:rsidRDefault="00614DA8" w:rsidP="00614DA8">
      <w:pPr>
        <w:pStyle w:val="paragraph"/>
        <w:textAlignment w:val="baseline"/>
        <w:rPr>
          <w:rFonts w:ascii="Calibri" w:hAnsi="Calibri" w:cs="Calibri"/>
          <w:szCs w:val="22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AF7DC1F" w14:textId="77777777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A28788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14:paraId="1C365216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2EC24350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8B7D0D4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AFB4B5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3406D54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1D22A38A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A679DA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348A65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0210B0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B1AB9D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6192B44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CCE89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035E15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14:paraId="73E82F17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32451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06A22F5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C7D8A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9B28C0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3E267C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5E93ABAE" w14:textId="77777777" w:rsidR="001B1AA7" w:rsidRPr="00381332" w:rsidRDefault="001B1AA7" w:rsidP="001B1AA7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48FBC5F5" w14:textId="77777777" w:rsidR="001B1AA7" w:rsidRPr="009778EA" w:rsidRDefault="001B1AA7" w:rsidP="001B1AA7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B4BE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A38210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25025F0D" w14:textId="77777777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E41AA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08D9C25F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BE2531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DC9D1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6F94A54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2C39A7CA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55EDB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76F17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razumije uputu i postupa prema uputi; </w:t>
            </w:r>
          </w:p>
          <w:p w14:paraId="7F7EF02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1CA5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DB50A6D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; sluša i 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ED9F3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F79C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2F6A5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46BE5BCC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6638A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riječi, rečenice, tekstove primjereno početnomu opismenjavanju; </w:t>
            </w:r>
          </w:p>
          <w:p w14:paraId="7D072DF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kraće riječi i rečenice metodom slovkanja.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14:paraId="08FB7F2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jednostavna pitanja nakon čitanja teksta; </w:t>
            </w:r>
          </w:p>
          <w:p w14:paraId="0B0565D1" w14:textId="77777777" w:rsidR="00371DDF" w:rsidRPr="00371DDF" w:rsidRDefault="00371DDF" w:rsidP="00371DDF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5314727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14:paraId="5EEE25B2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40425970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619F84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14:paraId="6A3A785E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 određene glasove  s odgovarajućim slovima čineći greške;  razlikuje neka slova od drugih znakova; povezuje glasove i slova u cjelovitu riječ, a riječi u 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Većinom povezuje glas s odgovarajućim slovom te razlikuje slova od drugih znakova; povezuje glasove i slova u cjelovitu riječ, a riječi u rečenicu uz povremena slovkanja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pisma; </w:t>
            </w:r>
          </w:p>
          <w:p w14:paraId="22F9B33F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14:paraId="6F098F8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05604AA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531E09F6" w14:textId="77777777"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ističe pisanje velikog početnog slova: prva riječ u rečenici, vlastita imena i prezimena ljudi i imena 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Metodom pokušaja i pogrešaka piše veliko početno slovo u rečenici, imenima i prezimenima ljudi te 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Promatrajući primjere samostalno donosi pravopisna pravila za pisanje velikog početnog slova (prva riječ u rečenici, vlastita imena i prezimena ljudi i imena naselja ili mjesta u užem okružju) te ih koristi u pisanju.</w:t>
            </w:r>
          </w:p>
        </w:tc>
      </w:tr>
      <w:tr w:rsidR="002B2629" w:rsidRPr="00B4176C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74FEF63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7622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9F0D609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nezamjetne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nepoznate riječi u dječjem rječniku poznavajući abecedni 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nepoznate riječi u dječjem rječniku poznavajući abecedni poredak riječi i čita s 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nepoznate riječi u dječjem rječniku uz pomoć i predložak  djelomično poznavajući abecedni poredak riječi. Čita  slovkanjem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Traži lakše i kraće  nepoznate riječi u dječjem rječniku poznavajući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nepoznate riječi u dječjem rječniku većinom poznavajući 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nepoznate riječi u dječjem rječniku poznavajući abecedni poredak riječi i čita s razumijevanjem objašnjenje značenja riječi te povezuje novo sa već naučenim u smislenu cjelinu.</w:t>
            </w:r>
          </w:p>
        </w:tc>
      </w:tr>
      <w:tr w:rsidR="002B2629" w:rsidRPr="00B4176C" w14:paraId="71F018F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93C1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6. Učenik prepoznaje razliku između</w:t>
            </w:r>
          </w:p>
          <w:p w14:paraId="3F63C7A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537F5B8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C4F09A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3F4EF7A5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glasovnu strukturu riječi; uočava 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glasovnu 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 uz upute i primjere; 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Pravovremeno i samostalno prepoznaje glasovnu strukturu riječi; uočava početni, središnji i završni glas u riječi bez ikakve pomoći i predloška/primjera.</w:t>
            </w:r>
          </w:p>
        </w:tc>
      </w:tr>
      <w:tr w:rsidR="002B2629" w:rsidRPr="00B4176C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420E11A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0090C164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61A8F1DE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0ACF819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F59D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47150" w:rsidRPr="00B4176C" w14:paraId="2126197B" w14:textId="77777777" w:rsidTr="00247150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3AA4D" w14:textId="77777777" w:rsidR="00247150" w:rsidRDefault="00247150" w:rsidP="00247150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B.1.1.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izražava svoja zapažanja, misli i osjećaje nakon slušanja/čitanja književnoga teksta </w:t>
            </w:r>
          </w:p>
          <w:p w14:paraId="068E6E32" w14:textId="091E6C0B" w:rsidR="00247150" w:rsidRPr="00247150" w:rsidRDefault="00247150" w:rsidP="00247150">
            <w:pPr>
              <w:ind w:left="8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B4176C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2B2629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1B1AA7" w:rsidRDefault="00247150" w:rsidP="000A3B74">
            <w:pPr>
              <w:ind w:left="43"/>
              <w:jc w:val="center"/>
              <w:rPr>
                <w:rFonts w:cstheme="minorHAnsi"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E0DE2" w:rsidRPr="00B4176C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5D66C4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14:paraId="4D3C5A62" w14:textId="1EBAFBAD" w:rsidR="000E0DE2" w:rsidRPr="002B2629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1449A2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potpun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rečenic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osobni doživljaj djela (kratki odgovori, potvrdni ili niječni,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015EC4" w:rsidRPr="00B4176C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2B2629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esigurno ili isključivo vođeno od strane učitelja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i jednostavnim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neke od opisanih situacija i doživljenoga u književnome tekstu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crtežom ili pokretom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predočene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situacije i doživljeno u književnome tekstu riječima, crtežom i pokretom.</w:t>
            </w:r>
          </w:p>
          <w:p w14:paraId="0E2FF8AF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15EC4" w:rsidRPr="00B4176C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mišljenje o postupcima likova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niječnim odgovorima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učiteljeva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pitanja izražava  vlastito mišljenje o događajima 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zražava vlastito mišljenje o događajima u priči i postupcima likova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ispravnim rečenicama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Samouvjereno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izražava vlastito mišljenje o događajima u priči i postupcima likova te ih dovodi u suodnos.</w:t>
            </w:r>
          </w:p>
        </w:tc>
      </w:tr>
      <w:tr w:rsidR="00015EC4" w:rsidRPr="00B4176C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  <w:p w14:paraId="38D18727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1B1AA7" w:rsidRDefault="00015EC4" w:rsidP="00015EC4">
            <w:pPr>
              <w:ind w:left="82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loše, ali ih teško uspoređuje  s vlastitim postupcima i 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povremeni poticaj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dodatnu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015EC4" w:rsidRPr="00B4176C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usmjeravanje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događaj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svakodnevnoga života koji su u vezi s onima u književnome tekstu.</w:t>
            </w:r>
          </w:p>
        </w:tc>
      </w:tr>
      <w:tr w:rsidR="00015EC4" w:rsidRPr="00B4176C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razloge zbog kojih mu se neki književni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pomoću niza potpitanja objašnjava razloge zbog kojih mu 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 rečenicama iznosi ali ne potkrepljuje primjerima 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015EC4" w:rsidRPr="00B4176C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 razrada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prati </w:t>
            </w:r>
          </w:p>
          <w:p w14:paraId="64E0F85F" w14:textId="22193081" w:rsidR="00015EC4" w:rsidRPr="0093002C" w:rsidRDefault="00015EC4" w:rsidP="00015EC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B4176C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7CF0F" w14:textId="77777777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D74C65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priču, pjesmu, zagonetku i igrokaz prema obliku; </w:t>
            </w:r>
          </w:p>
          <w:p w14:paraId="4FD6EB41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93002C" w:rsidRDefault="00015EC4" w:rsidP="00015EC4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015EC4" w:rsidRPr="00B4176C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tekstovima;</w:t>
            </w:r>
          </w:p>
          <w:p w14:paraId="220F6382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B4176C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B4176C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B4176C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B4176C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B4176C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2492A8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30A7674E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5F521304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B0648E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96593BA" w14:textId="77777777" w:rsidTr="006D0648">
        <w:tc>
          <w:tcPr>
            <w:tcW w:w="12475" w:type="dxa"/>
            <w:gridSpan w:val="6"/>
            <w:shd w:val="clear" w:color="auto" w:fill="auto"/>
          </w:tcPr>
          <w:p w14:paraId="6B7A9EBA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B. 1. 4.</w:t>
            </w:r>
          </w:p>
          <w:p w14:paraId="5A284506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14:paraId="55ECCFF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slikopriče; </w:t>
            </w:r>
          </w:p>
          <w:p w14:paraId="4D1B0F7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2DE3D6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6414AD" w:rsidRDefault="00015EC4" w:rsidP="00015EC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015EC4" w:rsidRPr="00D74C65" w14:paraId="5C5D78F2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1A115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015EC4" w:rsidRPr="00D74C65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B4176C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015EC4" w:rsidRPr="00B4176C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068B77B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14:paraId="7C53D74D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37779B49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8F49DF0" w14:textId="77777777" w:rsidR="00015EC4" w:rsidRPr="00D4456E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D4456E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293BD0DD" w14:textId="77777777" w:rsidR="006D0BC6" w:rsidRDefault="006D0BC6" w:rsidP="00445146">
      <w:pPr>
        <w:rPr>
          <w:rFonts w:cstheme="minorHAnsi"/>
        </w:rPr>
      </w:pPr>
    </w:p>
    <w:p w14:paraId="76C86894" w14:textId="77777777" w:rsidR="007D4196" w:rsidRDefault="007D4196" w:rsidP="00445146">
      <w:pPr>
        <w:rPr>
          <w:rFonts w:cstheme="minorHAnsi"/>
        </w:rPr>
      </w:pPr>
    </w:p>
    <w:p w14:paraId="233AF5BC" w14:textId="77777777" w:rsidR="008F287E" w:rsidRDefault="008F287E" w:rsidP="00445146">
      <w:pPr>
        <w:rPr>
          <w:rFonts w:cstheme="minorHAnsi"/>
        </w:rPr>
      </w:pPr>
    </w:p>
    <w:p w14:paraId="0A67A2A2" w14:textId="77777777" w:rsidR="008F287E" w:rsidRDefault="008F287E" w:rsidP="00445146">
      <w:pPr>
        <w:rPr>
          <w:rFonts w:cstheme="minorHAnsi"/>
        </w:rPr>
      </w:pPr>
    </w:p>
    <w:p w14:paraId="00A22BEF" w14:textId="77777777" w:rsidR="008F287E" w:rsidRDefault="008F287E" w:rsidP="00445146">
      <w:pPr>
        <w:rPr>
          <w:rFonts w:cstheme="minorHAnsi"/>
        </w:rPr>
      </w:pPr>
    </w:p>
    <w:p w14:paraId="7C15A1A5" w14:textId="77777777" w:rsidR="008F287E" w:rsidRDefault="008F287E" w:rsidP="00445146">
      <w:pPr>
        <w:rPr>
          <w:rFonts w:cstheme="minorHAnsi"/>
        </w:rPr>
      </w:pPr>
    </w:p>
    <w:p w14:paraId="13C888F3" w14:textId="77777777" w:rsidR="008F287E" w:rsidRDefault="008F287E" w:rsidP="00445146">
      <w:pPr>
        <w:rPr>
          <w:rFonts w:cstheme="minorHAnsi"/>
        </w:rPr>
      </w:pPr>
    </w:p>
    <w:p w14:paraId="545DA0F2" w14:textId="77777777" w:rsidR="008F287E" w:rsidRDefault="008F287E" w:rsidP="00445146">
      <w:pPr>
        <w:rPr>
          <w:rFonts w:cstheme="minorHAnsi"/>
        </w:rPr>
      </w:pPr>
    </w:p>
    <w:p w14:paraId="05C92612" w14:textId="77777777" w:rsidR="008F287E" w:rsidRDefault="008F287E" w:rsidP="00445146">
      <w:pPr>
        <w:rPr>
          <w:rFonts w:cstheme="minorHAnsi"/>
        </w:rPr>
      </w:pPr>
    </w:p>
    <w:p w14:paraId="1DAF7BAC" w14:textId="77777777" w:rsidR="008F287E" w:rsidRDefault="008F287E" w:rsidP="00445146">
      <w:pPr>
        <w:rPr>
          <w:rFonts w:cstheme="minorHAnsi"/>
        </w:rPr>
      </w:pPr>
    </w:p>
    <w:p w14:paraId="5210FC02" w14:textId="77777777" w:rsidR="008F287E" w:rsidRDefault="008F287E" w:rsidP="00445146">
      <w:pPr>
        <w:rPr>
          <w:rFonts w:cstheme="minorHAnsi"/>
        </w:rPr>
      </w:pPr>
    </w:p>
    <w:p w14:paraId="630892A7" w14:textId="77777777" w:rsidR="008F287E" w:rsidRDefault="008F287E" w:rsidP="00445146">
      <w:pPr>
        <w:rPr>
          <w:rFonts w:cstheme="minorHAnsi"/>
        </w:rPr>
      </w:pPr>
    </w:p>
    <w:p w14:paraId="1CA13824" w14:textId="77777777" w:rsidR="008F287E" w:rsidRDefault="008F287E" w:rsidP="00445146">
      <w:pPr>
        <w:rPr>
          <w:rFonts w:cstheme="minorHAnsi"/>
        </w:rPr>
      </w:pPr>
    </w:p>
    <w:p w14:paraId="69AA83D3" w14:textId="77777777" w:rsidR="008F287E" w:rsidRDefault="008F287E" w:rsidP="00445146">
      <w:pPr>
        <w:rPr>
          <w:rFonts w:cstheme="minorHAnsi"/>
        </w:rPr>
      </w:pPr>
    </w:p>
    <w:p w14:paraId="0160DBBF" w14:textId="77777777" w:rsidR="007D4196" w:rsidRDefault="007D4196" w:rsidP="00445146">
      <w:pPr>
        <w:rPr>
          <w:rFonts w:cstheme="minorHAnsi"/>
        </w:rPr>
      </w:pPr>
    </w:p>
    <w:p w14:paraId="7BDAEA1A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1853DEBC" w14:textId="77777777" w:rsidR="007329B7" w:rsidRDefault="007329B7" w:rsidP="007329B7">
      <w:pPr>
        <w:rPr>
          <w:rFonts w:cstheme="minorHAnsi"/>
          <w:sz w:val="24"/>
          <w:szCs w:val="28"/>
        </w:rPr>
      </w:pPr>
    </w:p>
    <w:p w14:paraId="649497E7" w14:textId="77777777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poučavanje predmeta Likovna kultura u 1. razredu osnovne škole organizira se kao niz manjih ili većih cjelina vezanih uz zadane i izborne teme.</w:t>
      </w:r>
    </w:p>
    <w:p w14:paraId="33946F4E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607EDCE0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7DEC5989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6F33C6A4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305874BF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4C837DE8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6B8201CC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758BEB1D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13C7A90E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6DAD38C1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29672692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753F7C96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1F9B869F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2C884C9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03F00E7C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B6870A8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60B6AD0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5B19CBA0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07A5954A" w14:textId="77777777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765CFB64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68251E6A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30CC8B5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4C7CBFCA" w14:textId="77777777" w:rsidR="007329B7" w:rsidRPr="006414AD" w:rsidRDefault="007329B7" w:rsidP="00A61CF5">
      <w:pPr>
        <w:pStyle w:val="Odlomakpopisa"/>
        <w:numPr>
          <w:ilvl w:val="0"/>
          <w:numId w:val="24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prostorno-plastički: glina, glinamol, papir-plastika, ambalaža i drugi materijali.</w:t>
      </w:r>
    </w:p>
    <w:p w14:paraId="68D681EC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84316E6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10D23911" w14:textId="77777777" w:rsidR="007329B7" w:rsidRPr="006414AD" w:rsidRDefault="007329B7" w:rsidP="007329B7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6BE40DE6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26F630C2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4DB9543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59E0EF10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25402948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297C7B4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14:paraId="279267FA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36ABAE1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lutkarstvo.</w:t>
      </w:r>
    </w:p>
    <w:p w14:paraId="7342CB79" w14:textId="77777777" w:rsidR="007329B7" w:rsidRPr="006414AD" w:rsidRDefault="007329B7" w:rsidP="007329B7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6484CB5A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557A3933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CF13CE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5DB97E65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3032CFCB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285A7630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174E84E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6D00BC25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03EC00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125A2F5B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28D762DE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69F8A9F3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039CBE2D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F38713B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235CB6B5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36DA022A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491D8E0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4A39FE7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297AA00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2B20D7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3B058FD6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F61B04B" w14:textId="77777777" w:rsidR="00BD1B99" w:rsidRPr="00F93520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3"/>
                <w:lang w:eastAsia="hr-HR"/>
              </w:rPr>
            </w:pPr>
            <w:r w:rsidRPr="00F93520">
              <w:rPr>
                <w:rFonts w:cstheme="minorHAnsi"/>
                <w:b/>
                <w:sz w:val="28"/>
              </w:rPr>
              <w:t xml:space="preserve">ISHOD: </w:t>
            </w:r>
            <w:r w:rsidRPr="00F93520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BD1B99" w:rsidRDefault="007329B7" w:rsidP="00D42B7C">
            <w:pPr>
              <w:jc w:val="center"/>
              <w:rPr>
                <w:rFonts w:cstheme="minorHAnsi"/>
                <w:sz w:val="28"/>
              </w:rPr>
            </w:pP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C439D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21BDF63A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6BBBBAD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upoznaje pojmove te forme izražavanja i oblikovanja vezane uz likovnu ili vizualnu umjetnost i kulturu</w:t>
            </w:r>
          </w:p>
          <w:p w14:paraId="30AB6D9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Učenik, kroz kreativnu igru, otkriva značaj osobnog zadovoljstva u stvaralačkom procesu</w:t>
            </w:r>
          </w:p>
          <w:p w14:paraId="3B971A1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14:paraId="79471AA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2005771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uglavnom upoznaje pojmove te forme izražavanja i oblikovanja vezane uz likovnu ili vizualnu umjetnost i kulturu uz pomoć medija, digitalnih sadržaja, zorno i praktično</w:t>
            </w:r>
          </w:p>
          <w:p w14:paraId="1F6D46CE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uglavnom koristi:</w:t>
            </w:r>
          </w:p>
          <w:p w14:paraId="05F92E5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38C346F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uspješno izražava doživljaj temeljen na vlastitom iskustvu uz poneki poticaj</w:t>
            </w:r>
          </w:p>
          <w:p w14:paraId="721DD10E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34880A1A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104BC41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3500224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28EC6F2B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5280" w14:textId="77777777" w:rsidR="007329B7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A1756C" w:rsidRDefault="007329B7" w:rsidP="00D42B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 koristi crtačke, slikarske, prostorno plastičke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crtačke, slikarske, prostorno plastičke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i sigurno koristi crtačke, slikarske, prostorno plastičke i druge materijale i tehnike precizno, usredotočeno, koordinira prste i oči te sitne pokrete.</w:t>
            </w:r>
          </w:p>
        </w:tc>
      </w:tr>
      <w:tr w:rsidR="007329B7" w:rsidRPr="00B4176C" w14:paraId="055F45D4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4EE369D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482931D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330693C2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C439D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7337F106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2B2904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6A4C0D4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29014310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3076820D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4D67F0E8" w14:textId="77777777" w:rsidR="007329B7" w:rsidRPr="00255D8E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791D95D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B52789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1930F97E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5D579B03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4E2B9AE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2EE97B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3CC009B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0A91BA16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7EA413F" w14:textId="77777777" w:rsidR="007329B7" w:rsidRPr="00F277AF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7AD8EEB7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3CBAF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0069EDEB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3669EFB2" w14:textId="77777777" w:rsidR="007329B7" w:rsidRPr="00255D8E" w:rsidRDefault="007329B7" w:rsidP="00D42B7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2FEE907E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41F8B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793F8659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E2A04B7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D4456E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2D7A6B4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14:paraId="36232341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A645E3F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7C2C1B19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43187B41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0C4F8D5" w14:textId="77777777" w:rsidR="007329B7" w:rsidRPr="00F277AF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2F8AE16A" w14:textId="77777777" w:rsidR="007329B7" w:rsidRPr="00F277AF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</w:p>
        </w:tc>
      </w:tr>
      <w:tr w:rsidR="007329B7" w:rsidRPr="00B4176C" w14:paraId="45E66E07" w14:textId="77777777" w:rsidTr="00D42B7C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DBFB8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14:paraId="6E90D91F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Default="007329B7" w:rsidP="007329B7">
      <w:pPr>
        <w:rPr>
          <w:rFonts w:cstheme="minorHAnsi"/>
          <w:sz w:val="24"/>
        </w:rPr>
      </w:pPr>
    </w:p>
    <w:p w14:paraId="106978E4" w14:textId="77777777" w:rsidR="008F287E" w:rsidRDefault="008F287E" w:rsidP="007329B7">
      <w:pPr>
        <w:rPr>
          <w:rFonts w:cstheme="minorHAnsi"/>
          <w:sz w:val="24"/>
        </w:rPr>
      </w:pPr>
    </w:p>
    <w:p w14:paraId="36FC1136" w14:textId="77777777" w:rsidR="008F287E" w:rsidRDefault="008F287E" w:rsidP="007329B7">
      <w:pPr>
        <w:rPr>
          <w:rFonts w:cstheme="minorHAnsi"/>
          <w:sz w:val="24"/>
        </w:rPr>
      </w:pPr>
    </w:p>
    <w:p w14:paraId="16EA14B6" w14:textId="77777777" w:rsidR="008F287E" w:rsidRDefault="008F287E" w:rsidP="007329B7">
      <w:pPr>
        <w:rPr>
          <w:rFonts w:cstheme="minorHAnsi"/>
          <w:sz w:val="24"/>
        </w:rPr>
      </w:pPr>
    </w:p>
    <w:p w14:paraId="4D89AA10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2E96EADA" w14:textId="77777777" w:rsidTr="006D70D8">
        <w:tc>
          <w:tcPr>
            <w:tcW w:w="426" w:type="dxa"/>
            <w:shd w:val="clear" w:color="auto" w:fill="A8D08D" w:themeFill="accent6" w:themeFillTint="99"/>
          </w:tcPr>
          <w:p w14:paraId="354E016D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0C9995BB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B11E65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8BDCB40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42B530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D1C37D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1993B171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6EBC8C6D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52642CA1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6811003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F42351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9FC926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498906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28BB21D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E0E9A5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142BB0B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80E4F8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580D4F7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11AEB62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68E4D1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4C30F05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0C80B98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415A694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44859E9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21B98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D681F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5450DD2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52FD5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70C60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10CD01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3C808D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8433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407CC1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6A2DFEF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019A93B6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22216205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5BA166E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EFB83A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11F60E9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79B3D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98124E4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3A70EF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520B02B5" w14:textId="77777777" w:rsidR="007329B7" w:rsidRPr="00B4176C" w:rsidRDefault="007329B7" w:rsidP="007329B7">
      <w:pPr>
        <w:rPr>
          <w:rFonts w:cstheme="minorHAnsi"/>
        </w:rPr>
      </w:pPr>
    </w:p>
    <w:p w14:paraId="0B73BE9C" w14:textId="77777777" w:rsidR="007329B7" w:rsidRDefault="007329B7" w:rsidP="00445146">
      <w:pPr>
        <w:rPr>
          <w:rFonts w:cstheme="minorHAnsi"/>
        </w:rPr>
      </w:pPr>
    </w:p>
    <w:p w14:paraId="09DC359E" w14:textId="77777777" w:rsidR="00743533" w:rsidRDefault="00743533" w:rsidP="00445146">
      <w:pPr>
        <w:rPr>
          <w:rFonts w:cstheme="minorHAnsi"/>
        </w:rPr>
      </w:pPr>
    </w:p>
    <w:p w14:paraId="72642CE0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081A9526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7ED88B5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5467C108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2B65441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6F32889" w14:textId="77777777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966F05B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1D1F8BB5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E3F5E84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019DDE5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3B628244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4D2C5001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06266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5EFB464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8C41956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460CE8A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8457A5F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1C748174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9953EA8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70B32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0CAC2B32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3D915D11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185E8F">
              <w:rPr>
                <w:rFonts w:eastAsia="Times New Roman" w:cstheme="minorHAnsi"/>
                <w:b/>
                <w:bCs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70CB6A1D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46B2C1D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4C51" w:rsidRPr="00B4176C" w14:paraId="620EE6B4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E663512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7A4C51" w:rsidRPr="00B4176C" w14:paraId="7A6E19F2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56845" w14:textId="77777777" w:rsidR="007A4C51" w:rsidRPr="00192BFB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 w:rsidRPr="00192BFB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192BF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5A1FCA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D00DAD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6FD7B59C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10F6C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0F1CB528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14:paraId="32637D1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A1C08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14:paraId="7353F487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EF160E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29CCAFF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66E4B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0306819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34E0D3F7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65C0D56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1657DB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1CE2DC97" w14:textId="77777777" w:rsidR="007A4C51" w:rsidRDefault="007A4C51" w:rsidP="007A4C51">
      <w:pPr>
        <w:rPr>
          <w:sz w:val="24"/>
          <w:szCs w:val="24"/>
        </w:rPr>
      </w:pPr>
    </w:p>
    <w:p w14:paraId="463545BA" w14:textId="77777777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F1151D7" w14:textId="77777777" w:rsidTr="007A4C51">
        <w:tc>
          <w:tcPr>
            <w:tcW w:w="425" w:type="dxa"/>
            <w:shd w:val="clear" w:color="auto" w:fill="A8D08D" w:themeFill="accent6" w:themeFillTint="99"/>
          </w:tcPr>
          <w:p w14:paraId="04C0C53E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725B98B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EFF73D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0C99A8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6FC0F6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14A6BA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01EEF1DE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067D9354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A89B87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307745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A9F675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04D74D8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368820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1F657AC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324CEE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62187BA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4F6092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6F2972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639E487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4A4F53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04FA7E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6AE867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0E9208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3A92DFD9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FA24FD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0DDB3F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44CC6F1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078F3B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B2A11C3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7F849B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0B30F68F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06F6FD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E22652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890095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18C3765F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DA0E89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4107A6A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5D91E8B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41992186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AA7ED3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453C0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061C2CC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46C172C4" w14:textId="77777777" w:rsidR="007A4C51" w:rsidRDefault="007A4C51" w:rsidP="007A4C51">
      <w:pPr>
        <w:rPr>
          <w:rFonts w:cstheme="minorHAnsi"/>
          <w:sz w:val="24"/>
        </w:rPr>
      </w:pPr>
    </w:p>
    <w:p w14:paraId="065CADFD" w14:textId="77777777" w:rsidR="007A4C51" w:rsidRDefault="007A4C51" w:rsidP="00445146">
      <w:pPr>
        <w:rPr>
          <w:rFonts w:cstheme="minorHAnsi"/>
        </w:rPr>
      </w:pPr>
    </w:p>
    <w:p w14:paraId="2C8B72CA" w14:textId="77777777" w:rsidR="007A4C51" w:rsidRDefault="007A4C51" w:rsidP="00445146">
      <w:pPr>
        <w:rPr>
          <w:rFonts w:cstheme="minorHAnsi"/>
        </w:rPr>
      </w:pPr>
    </w:p>
    <w:p w14:paraId="7CBF8BD7" w14:textId="77777777" w:rsidR="007A4C51" w:rsidRDefault="007A4C51" w:rsidP="00445146">
      <w:pPr>
        <w:rPr>
          <w:rFonts w:cstheme="minorHAnsi"/>
        </w:rPr>
      </w:pPr>
    </w:p>
    <w:p w14:paraId="5B64BCDA" w14:textId="77777777" w:rsidR="007329B7" w:rsidRDefault="007329B7" w:rsidP="00445146">
      <w:pPr>
        <w:rPr>
          <w:rFonts w:cstheme="minorHAnsi"/>
        </w:rPr>
      </w:pPr>
    </w:p>
    <w:p w14:paraId="42ADD9E0" w14:textId="77777777" w:rsidR="007329B7" w:rsidRDefault="007329B7" w:rsidP="00445146">
      <w:pPr>
        <w:rPr>
          <w:rFonts w:cstheme="minorHAnsi"/>
        </w:rPr>
      </w:pPr>
    </w:p>
    <w:p w14:paraId="228C48AF" w14:textId="77777777" w:rsidR="007329B7" w:rsidRDefault="007329B7" w:rsidP="00445146">
      <w:pPr>
        <w:rPr>
          <w:rFonts w:cstheme="minorHAnsi"/>
        </w:rPr>
      </w:pPr>
    </w:p>
    <w:p w14:paraId="7ACD2109" w14:textId="77777777" w:rsidR="007329B7" w:rsidRDefault="007329B7" w:rsidP="00445146">
      <w:pPr>
        <w:rPr>
          <w:rFonts w:cstheme="minorHAnsi"/>
        </w:rPr>
      </w:pPr>
    </w:p>
    <w:p w14:paraId="2A7950B4" w14:textId="77777777" w:rsidR="007A4C51" w:rsidRDefault="007A4C51" w:rsidP="00445146">
      <w:pPr>
        <w:rPr>
          <w:rFonts w:cstheme="minorHAnsi"/>
        </w:rPr>
      </w:pPr>
    </w:p>
    <w:p w14:paraId="0B19DBBE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7A0FAD09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466E2822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0B066F8E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10F24D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3AA0EDD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4AD269C4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0530514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29ABF3A8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4AF3119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0FFB6759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3AB87DF3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52C4AB18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5DE48D10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24047462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59F197B6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2455FF3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22D334F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B160C0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47D765F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2D6EB7D4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B8EF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074DCCDF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EB92F53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3159525A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4AB9204F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3B1959D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5697FFC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203BF5A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74C7770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B8EE71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0445452A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707B18D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3D762131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77E42A24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0731A30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16476E5A" w14:textId="77777777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25BCB83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613861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konkreta povezuje količinu i broj. </w:t>
            </w:r>
          </w:p>
          <w:p w14:paraId="4A76828B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načine. </w:t>
            </w:r>
          </w:p>
          <w:p w14:paraId="4E728B03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3CF6BC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B86A06" w:rsidRDefault="007A4C51" w:rsidP="007A4C51">
            <w:pPr>
              <w:spacing w:after="160" w:line="259" w:lineRule="auto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2561725F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4D3EA3C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2A7A99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B86A06" w:rsidRDefault="007A4C51" w:rsidP="007A4C51">
            <w:pPr>
              <w:rPr>
                <w:rFonts w:cstheme="minorHAnsi"/>
                <w:sz w:val="24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14:paraId="1D56F13B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4A7AD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09A788D0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797CE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5E38E35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F0DA03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9CD113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20 koristeći se konkretima.</w:t>
            </w:r>
          </w:p>
        </w:tc>
        <w:tc>
          <w:tcPr>
            <w:tcW w:w="2552" w:type="dxa"/>
          </w:tcPr>
          <w:p w14:paraId="70700A2A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14:paraId="7847072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Primjenjuje svojstva komutativnosti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svojstva komutativnosti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komutativnosti i primjenjuje ih samostalno i točno.</w:t>
            </w:r>
          </w:p>
        </w:tc>
      </w:tr>
      <w:tr w:rsidR="007A4C51" w:rsidRPr="00B4176C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 koristeći konkrete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1DE14CC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87D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0041C11D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3674A62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62340D8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AA904B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495C2E1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034B503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6B8F16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14:paraId="3A548435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5625359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438A77AB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76F41A7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0348D7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28784627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8866FB6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6617410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A4E3A16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14:paraId="6F0784A9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4825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i opisuje kuglu, valjak, kocku, 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kuglu, valjak, kocku, 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geometrijska tijela i likove predstavljene objektima iz neposredne okoline i vlastitog iskustva prisjećanjem. </w:t>
            </w:r>
          </w:p>
        </w:tc>
      </w:tr>
      <w:tr w:rsidR="007A4C51" w:rsidRPr="00B4176C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Samostalno izdvaja ravne i zakrivljene plohe s 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7C19464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B4F49F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03A333A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0FF6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1E20681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22986AC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14909D6F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C466B56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4048FD7A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51AFC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373ABA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2F61E831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5C2D06D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4C748B37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5865DEB9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14:paraId="4A8747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</w:tcPr>
          <w:p w14:paraId="42D1782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14:paraId="78FBD213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647B751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8A2469A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4E61D1BC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F4893FA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14:paraId="43BF6D4B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14:paraId="2FE73BF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Skupove uspoređuje tek nakon skretanja 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kriterij po kojemu su članovi 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7252622F" w14:textId="77777777" w:rsidR="007A4C51" w:rsidRDefault="007A4C51" w:rsidP="007A4C51">
      <w:pPr>
        <w:rPr>
          <w:rFonts w:cstheme="minorHAnsi"/>
          <w:sz w:val="24"/>
        </w:rPr>
      </w:pPr>
    </w:p>
    <w:p w14:paraId="5D8D9D68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1CDC9432" w14:textId="77777777" w:rsidR="007A4C51" w:rsidRDefault="007A4C51" w:rsidP="00445146">
      <w:pPr>
        <w:rPr>
          <w:rFonts w:cstheme="minorHAnsi"/>
        </w:rPr>
      </w:pPr>
    </w:p>
    <w:p w14:paraId="552E0DD7" w14:textId="77777777" w:rsidR="007A4C51" w:rsidRDefault="007A4C51" w:rsidP="00445146">
      <w:pPr>
        <w:rPr>
          <w:rFonts w:cstheme="minorHAnsi"/>
        </w:rPr>
      </w:pPr>
    </w:p>
    <w:p w14:paraId="62D5DC7A" w14:textId="77777777" w:rsidR="007A4C51" w:rsidRDefault="007A4C51" w:rsidP="00445146">
      <w:pPr>
        <w:rPr>
          <w:rFonts w:cstheme="minorHAnsi"/>
        </w:rPr>
      </w:pPr>
    </w:p>
    <w:p w14:paraId="41781953" w14:textId="77777777" w:rsidR="007329B7" w:rsidRDefault="007329B7" w:rsidP="00445146">
      <w:pPr>
        <w:rPr>
          <w:rFonts w:cstheme="minorHAnsi"/>
        </w:rPr>
      </w:pPr>
    </w:p>
    <w:p w14:paraId="3770594C" w14:textId="77777777" w:rsidR="007329B7" w:rsidRDefault="007329B7" w:rsidP="00445146">
      <w:pPr>
        <w:rPr>
          <w:rFonts w:cstheme="minorHAnsi"/>
        </w:rPr>
      </w:pPr>
    </w:p>
    <w:p w14:paraId="6C1E91C6" w14:textId="77777777" w:rsidR="007D4196" w:rsidRDefault="007D4196" w:rsidP="00445146">
      <w:pPr>
        <w:rPr>
          <w:rFonts w:cstheme="minorHAnsi"/>
        </w:rPr>
      </w:pPr>
    </w:p>
    <w:p w14:paraId="6BCB389C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E47B73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504CFDF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4B7DB1A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0C5D3D4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004958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7AEA0402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7EA8AD25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28075E5A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3DBB6A8D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59F3847A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6E2E33A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7D81819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6C563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41A2225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040D3C8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AD6D7DD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6F23F932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521BF10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14FB12D5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7F0E3510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5F16B626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0556BC14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6B7A10C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44E35187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B4176C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B4176C" w14:paraId="03159F90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DCE3A3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cjelinu čine 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6C3AF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Ne uočava dio cjeline te mogućnost dijeljenja cjeline na sitnije dijelove.</w:t>
            </w:r>
          </w:p>
        </w:tc>
        <w:tc>
          <w:tcPr>
            <w:tcW w:w="2552" w:type="dxa"/>
          </w:tcPr>
          <w:p w14:paraId="671F014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da cjelinu čine dijelovi te različite cjeline dijeli na sitnije dijelove.</w:t>
            </w:r>
          </w:p>
        </w:tc>
      </w:tr>
      <w:tr w:rsidR="007D4196" w:rsidRPr="00B4176C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Dijelovi i cjeline imaju različita svojstva/obilježja.</w:t>
            </w:r>
          </w:p>
          <w:p w14:paraId="3270A517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se tvari 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136628" w:rsidRDefault="007D4196" w:rsidP="007A4C51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136628" w:rsidRDefault="007D4196" w:rsidP="007A4C51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izvodi pokuse kojima otkriva mogućnosti miješanja tvari i otkriva i istražuje njihova svojstva svojim osjetilima.</w:t>
            </w:r>
          </w:p>
        </w:tc>
      </w:tr>
      <w:tr w:rsidR="007D4196" w:rsidRPr="00B4176C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predlaže poželjne primjere dnevnih obroka. Uviđa važnost redovitog održavanja osobne čistoće i tjelovježbe te njihovu vezu s očuvanjem zdravlja.</w:t>
            </w:r>
          </w:p>
        </w:tc>
      </w:tr>
      <w:tr w:rsidR="007D4196" w:rsidRPr="00B4176C" w14:paraId="31910423" w14:textId="77777777" w:rsidTr="007A4C51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1F857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i imenuje doba dana, dane u 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učiteljevu pomoć ili za modelom određuje i imenuje dane u tjednu i godišnja doba, opaža 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dane u tjednu i godišnja doba uz poneka navođenja, 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i različitim smjerom nabraja dane u tjednu i godišnja doba opažajući organiziranost vremena.</w:t>
            </w:r>
          </w:p>
        </w:tc>
      </w:tr>
      <w:tr w:rsidR="007D4196" w:rsidRPr="00B4176C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DE3AF1" w:rsidRDefault="007D4196" w:rsidP="00966C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3331BC8D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DCCAC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ređenja prostora u domu i školi, ali brigu 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oje dužnosti u obitelji i školi te opisuje svoje djelovanje kako u domu, tako i u školi.</w:t>
            </w:r>
          </w:p>
        </w:tc>
      </w:tr>
      <w:tr w:rsidR="007D4196" w:rsidRPr="00B4176C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organizaciju 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organizaciju prometa, ali još uvijek se ne 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551" w:type="dxa"/>
          </w:tcPr>
          <w:p w14:paraId="6A75082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Kreće se u poznatom prostoru (put od škole do kuće ili promet oko 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primjenjuje bez dodatnih uputa dogovorena i upoznata pravila u organizaciji prometnica, kako u poznatom i bliskom okružju, tako i u manje poznatom prostoru. </w:t>
            </w:r>
          </w:p>
        </w:tc>
      </w:tr>
      <w:tr w:rsidR="007D4196" w:rsidRPr="00B4176C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Opisuje svoje dužnosti prema zadanom primjeru (kućni red škole, 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B4176C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14786812" w14:textId="77777777" w:rsidTr="007A4C51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652CE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vremenske prilike, rast i razvoj biljke, svoj rast i razvoj, ali teže samostalno 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vremenske prilike, rast i razvoj biljke, svoj rast i razvoj 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promjene u živoj prirodi oko sebe i svoj 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okružja u kojemu živi i boravi.</w:t>
            </w:r>
          </w:p>
          <w:p w14:paraId="77409559" w14:textId="77777777" w:rsidR="00966C8B" w:rsidRPr="007D54A2" w:rsidRDefault="00966C8B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14:paraId="43743816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F433D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14:paraId="2C75EF90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dan i noć te 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Razlikuje dan i noć, prepoznaje neke aktivnosti s dobom 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14:paraId="0BF52867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571BC19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i raščlanjuje vlastite i obiteljske obveze  i aktivnosti te uspoređuje izmjenu dana i noći s aktivnostima koje se u nekom od doba dana izvode samostalno i točno.</w:t>
            </w:r>
          </w:p>
        </w:tc>
      </w:tr>
      <w:tr w:rsidR="007D4196" w:rsidRPr="00B4176C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F2BD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14:paraId="1AE9377D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000268C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7779DD13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7D4196" w:rsidRPr="00B4176C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dodatne upute i pojednostavljene zadatke učenik reda 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prikazuje svoje obveze/događaje na vremenskoj crti i umnoj mapi prema unaprijed 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4B6CD4F7" w14:textId="77777777" w:rsidTr="007A4C51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EADA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B.1.3. Učenik se snalazi u prostoru oko sebe </w:t>
            </w:r>
          </w:p>
          <w:p w14:paraId="7107985B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14:paraId="4C350F9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14:paraId="2AA2F469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/predmeta u učionici, ali ga određuje isključivo prema sebi i prostoriji u kojoj se nalazi, ne predviđa 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1999628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14:paraId="2C64A91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2CB769A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14CD7327" w14:textId="77777777" w:rsidTr="007A4C51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1EBBC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430862E1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50C88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134E6F16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pravila, obavlja dužnosti te poznaje posljedice za njihovo nepoštivanje u razrednoj zajednici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Primjenjuje, objašnjava i zaključuje o pravilima i primjeni istih, obavlja 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B4176C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govorno, telefonskim brojem 112 te uviđa važnost ne poigravanja s važnim telefonskim brojevima iz zabave.</w:t>
            </w:r>
          </w:p>
        </w:tc>
      </w:tr>
      <w:tr w:rsidR="007D4196" w:rsidRPr="00B4176C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7CB44B2F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AD4EC8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5D66C4" w:rsidRDefault="007D4196" w:rsidP="00A229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13660E5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2A6D6DF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Opisuje opasnosti koje se mogu javiti pri nepravilnoj uporabi uređaja te imenuje 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 te opisuje i objašnjava opasnosti koje se mogu javiti pri uporabi uređaja i kako reagirati pri pojavi opasnosti.</w:t>
            </w:r>
          </w:p>
        </w:tc>
      </w:tr>
      <w:tr w:rsidR="007D4196" w:rsidRPr="00B4176C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3543BB11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5551CF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3D45AE7D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7F0028" w:rsidRDefault="007D4196" w:rsidP="007A4C51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9778EA" w:rsidRDefault="007D4196" w:rsidP="007A4C51">
            <w:pPr>
              <w:pStyle w:val="Odlomakpopis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821440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7175476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586E7BA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3ECC2CA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372D22A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23D00A1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6B05AAFD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1497650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CE5D3E5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7EE915C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91A3484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FD725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7D4196" w:rsidRPr="00B4176C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C74B00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46AC0223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747A6E7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6E0C8F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D76E7E" w:rsidRDefault="007D4196" w:rsidP="00055FB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5D66C4" w:rsidRDefault="007D4196" w:rsidP="00055FB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1EA6A34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7F0028" w:rsidRDefault="007D4196" w:rsidP="00BF0FEB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7F0028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5D66C4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500D890F" w14:textId="77777777" w:rsidR="007D4196" w:rsidRDefault="007D4196" w:rsidP="007D4196">
      <w:pPr>
        <w:rPr>
          <w:rFonts w:cstheme="minorHAnsi"/>
          <w:sz w:val="24"/>
        </w:rPr>
      </w:pPr>
    </w:p>
    <w:p w14:paraId="324FD78C" w14:textId="77777777" w:rsidR="007D4196" w:rsidRDefault="007D4196" w:rsidP="00445146">
      <w:pPr>
        <w:rPr>
          <w:rFonts w:cstheme="minorHAnsi"/>
        </w:rPr>
      </w:pPr>
    </w:p>
    <w:p w14:paraId="3C0CDA32" w14:textId="77777777" w:rsidR="00204968" w:rsidRDefault="00204968" w:rsidP="00445146">
      <w:pPr>
        <w:rPr>
          <w:rFonts w:cstheme="minorHAnsi"/>
        </w:rPr>
      </w:pPr>
    </w:p>
    <w:p w14:paraId="541B7CD1" w14:textId="77777777" w:rsidR="007329B7" w:rsidRDefault="007329B7" w:rsidP="00445146">
      <w:pPr>
        <w:rPr>
          <w:rFonts w:cstheme="minorHAnsi"/>
        </w:rPr>
      </w:pPr>
    </w:p>
    <w:p w14:paraId="3D9030CC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5FACD7E7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04E391F0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29624F93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3B937466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22E53729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4E81EC05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69486AA2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1A2FBB7F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438A72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7C71E0A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C4642C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0443CF6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3878F0C5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2B9988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751E0AAC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C8C6432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0EC8171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1C2EBD7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482864C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0AE6C73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E8348E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D917B1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12B4C9C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2526EC2B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13EEBE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1354483F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B464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5D66C4" w:rsidRDefault="00786248" w:rsidP="00D42B7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786248" w:rsidRPr="00B4176C" w14:paraId="672F2071" w14:textId="77777777" w:rsidTr="00D42B7C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7152" w14:textId="77777777" w:rsidR="00786248" w:rsidRPr="00075D34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6847AE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81332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14:paraId="6D570AE5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29D3D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Default="00786248" w:rsidP="00D42B7C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14:paraId="7D38664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14:paraId="677B1FE4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94DD2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5D66C4" w:rsidRDefault="00786248" w:rsidP="00D42B7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Prihvaća pravila igre.</w:t>
            </w:r>
          </w:p>
          <w:p w14:paraId="061361D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7A3528B7" w14:textId="77777777" w:rsidR="00786248" w:rsidRDefault="00786248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37B1F6CF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23D5414A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11B151D9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703FB250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1C8ACB75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484F5AC7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5080F408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7C43EBFA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01E2D855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55132DAC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3EF44B1D" w14:textId="77777777" w:rsidR="00743533" w:rsidRDefault="00743533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6467DEE0" w14:textId="77777777" w:rsidR="007329B7" w:rsidRPr="00862F17" w:rsidRDefault="00397E57" w:rsidP="00445146">
      <w:pPr>
        <w:rPr>
          <w:rFonts w:cstheme="minorHAnsi"/>
          <w:b/>
          <w:sz w:val="24"/>
        </w:rPr>
      </w:pPr>
      <w:r w:rsidRPr="00862F17">
        <w:rPr>
          <w:rFonts w:cstheme="minorHAnsi"/>
          <w:b/>
          <w:sz w:val="24"/>
        </w:rPr>
        <w:t>Sat razrednika – opaske</w:t>
      </w:r>
    </w:p>
    <w:p w14:paraId="7FDE34E0" w14:textId="77777777" w:rsidR="00397E57" w:rsidRDefault="00397E57" w:rsidP="00445146">
      <w:pPr>
        <w:rPr>
          <w:rFonts w:cstheme="minorHAnsi"/>
        </w:rPr>
      </w:pPr>
    </w:p>
    <w:tbl>
      <w:tblPr>
        <w:tblStyle w:val="Reetkatablice"/>
        <w:tblW w:w="15877" w:type="dxa"/>
        <w:tblInd w:w="-998" w:type="dxa"/>
        <w:tblLook w:val="04A0" w:firstRow="1" w:lastRow="0" w:firstColumn="1" w:lastColumn="0" w:noHBand="0" w:noVBand="1"/>
      </w:tblPr>
      <w:tblGrid>
        <w:gridCol w:w="2755"/>
        <w:gridCol w:w="4374"/>
        <w:gridCol w:w="4374"/>
        <w:gridCol w:w="4374"/>
      </w:tblGrid>
      <w:tr w:rsidR="00862F17" w14:paraId="21B550CC" w14:textId="77777777" w:rsidTr="006634E9">
        <w:tc>
          <w:tcPr>
            <w:tcW w:w="2755" w:type="dxa"/>
            <w:shd w:val="clear" w:color="auto" w:fill="DEEAF6" w:themeFill="accent1" w:themeFillTint="33"/>
          </w:tcPr>
          <w:p w14:paraId="0A9F7F19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374" w:type="dxa"/>
            <w:shd w:val="clear" w:color="auto" w:fill="DEEAF6" w:themeFill="accent1" w:themeFillTint="33"/>
          </w:tcPr>
          <w:p w14:paraId="23DB902A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LOŠE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393669EF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DOBRO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778AC505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UZORNO</w:t>
            </w:r>
          </w:p>
        </w:tc>
      </w:tr>
      <w:tr w:rsidR="00862F17" w:rsidRPr="00040585" w14:paraId="11B88FB2" w14:textId="77777777" w:rsidTr="006634E9">
        <w:tc>
          <w:tcPr>
            <w:tcW w:w="2755" w:type="dxa"/>
          </w:tcPr>
          <w:p w14:paraId="43E95EE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radu</w:t>
            </w:r>
          </w:p>
        </w:tc>
        <w:tc>
          <w:tcPr>
            <w:tcW w:w="4374" w:type="dxa"/>
            <w:shd w:val="clear" w:color="auto" w:fill="auto"/>
          </w:tcPr>
          <w:p w14:paraId="6AE99D20" w14:textId="77777777" w:rsidR="00BF0FEB" w:rsidRDefault="00BF0FEB" w:rsidP="00445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Čak i uz poticaje učitelja teško se uključuje u oblike rada.</w:t>
            </w:r>
          </w:p>
          <w:p w14:paraId="1F3DC818" w14:textId="77777777" w:rsidR="00BF0FEB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031F0C0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 brine o urednosti radnoga mjesta i pribora za rad.</w:t>
            </w:r>
          </w:p>
          <w:p w14:paraId="36EDB9C9" w14:textId="77777777" w:rsidR="00BF0FEB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Nezainteresiran/nezainteresirana za školski uspjeh.</w:t>
            </w:r>
          </w:p>
          <w:p w14:paraId="58FD2B29" w14:textId="77777777" w:rsidR="006634E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Potrebno je stalno poticati razvoj radnih  navika.</w:t>
            </w:r>
          </w:p>
          <w:p w14:paraId="036DA741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Nedostaju radne navike.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Potreban kontinuirani rad u školi i kod kuće.</w:t>
            </w:r>
            <w:r w:rsidR="00AF0116">
              <w:rPr>
                <w:rFonts w:cstheme="minorHAnsi"/>
                <w:color w:val="000000"/>
                <w:sz w:val="24"/>
                <w:szCs w:val="24"/>
              </w:rPr>
              <w:br/>
              <w:t>Sadržaje koji su mu/joj neatraktivni usvaja na niskoj razini.</w:t>
            </w:r>
          </w:p>
        </w:tc>
        <w:tc>
          <w:tcPr>
            <w:tcW w:w="4374" w:type="dxa"/>
            <w:shd w:val="clear" w:color="auto" w:fill="auto"/>
          </w:tcPr>
          <w:p w14:paraId="20B6168C" w14:textId="77777777" w:rsidR="00040585" w:rsidRPr="00040585" w:rsidRDefault="00BF0FEB" w:rsidP="0044514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 xml:space="preserve">astavne sadržaje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prati uz povremena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svraća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nja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pozornost na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iste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48BB99A" w14:textId="77777777" w:rsidR="00BF0FEB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povremene poticaje se uključuje u nastavni rad. </w:t>
            </w:r>
          </w:p>
          <w:p w14:paraId="7F5BFA05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Uglavnom 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693910C" w14:textId="77777777" w:rsidR="00BF0FEB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 se trudi postići što bolje rezultate.</w:t>
            </w:r>
          </w:p>
          <w:p w14:paraId="66303D51" w14:textId="77777777" w:rsidR="006634E9" w:rsidRDefault="00D606DB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6634E9">
              <w:rPr>
                <w:rFonts w:cstheme="minorHAnsi"/>
                <w:color w:val="000000"/>
                <w:sz w:val="24"/>
                <w:szCs w:val="24"/>
              </w:rPr>
              <w:t>azvijene radne navike.</w:t>
            </w:r>
          </w:p>
          <w:p w14:paraId="63AD42F6" w14:textId="77777777" w:rsidR="001B0479" w:rsidRDefault="001B047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Poraditi na radnim navikama u vidu </w:t>
            </w:r>
            <w:r>
              <w:rPr>
                <w:rFonts w:cstheme="minorHAnsi"/>
                <w:color w:val="000000"/>
                <w:sz w:val="24"/>
                <w:szCs w:val="24"/>
              </w:rPr>
              <w:t>redovnog</w:t>
            </w: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 rada. </w:t>
            </w:r>
          </w:p>
          <w:p w14:paraId="08EEBED9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14:paraId="4A1C3863" w14:textId="77777777" w:rsidR="00BF0FEB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</w:t>
            </w:r>
            <w:r w:rsidR="00BF0FEB">
              <w:rPr>
                <w:rFonts w:cstheme="minorHAnsi"/>
                <w:color w:val="000000"/>
                <w:sz w:val="24"/>
                <w:szCs w:val="24"/>
              </w:rPr>
              <w:t>eren odnos prema učenju i radu.</w:t>
            </w:r>
          </w:p>
          <w:p w14:paraId="37AC1897" w14:textId="77777777" w:rsidR="00862F17" w:rsidRPr="00040585" w:rsidRDefault="00BF0FEB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0381E8A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Slijedi dogovorena pravila.</w:t>
            </w:r>
          </w:p>
          <w:p w14:paraId="63F86B1F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Nastavne sadržaje prati s aktivnom pažnjom.</w:t>
            </w:r>
          </w:p>
          <w:p w14:paraId="4C32800B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Rado se uključuje u sve oblike rada.</w:t>
            </w:r>
          </w:p>
          <w:p w14:paraId="48670288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 radu aktivna/aktivna i suradljiv/suradljiva.</w:t>
            </w:r>
          </w:p>
          <w:p w14:paraId="32D901C2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Trudi se postići što bolje rezultate.</w:t>
            </w:r>
          </w:p>
          <w:p w14:paraId="4A254DF6" w14:textId="77777777" w:rsidR="001B047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Visoko razvijene radne navike.</w:t>
            </w:r>
            <w:r w:rsidR="001B0479" w:rsidRPr="001B04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42CB215" w14:textId="77777777" w:rsidR="006634E9" w:rsidRPr="00040585" w:rsidRDefault="001B0479" w:rsidP="00040585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Visokih intelektualnih sposobnosti.</w:t>
            </w:r>
          </w:p>
        </w:tc>
      </w:tr>
      <w:tr w:rsidR="00862F17" w:rsidRPr="00040585" w14:paraId="60741158" w14:textId="77777777" w:rsidTr="006634E9">
        <w:tc>
          <w:tcPr>
            <w:tcW w:w="2755" w:type="dxa"/>
          </w:tcPr>
          <w:p w14:paraId="706D5EC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prijateljima</w:t>
            </w:r>
          </w:p>
        </w:tc>
        <w:tc>
          <w:tcPr>
            <w:tcW w:w="4374" w:type="dxa"/>
          </w:tcPr>
          <w:p w14:paraId="2ED8E9B5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kontrolira emocijama što dovodi do konfliktnih situacija sa učenicima.</w:t>
            </w:r>
          </w:p>
          <w:p w14:paraId="528A8544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prijateljima (psovke, grube riječi).</w:t>
            </w:r>
          </w:p>
          <w:p w14:paraId="27276A9B" w14:textId="77777777" w:rsidR="00862F17" w:rsidRPr="00040585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Smišlja i motivira učenike na neprimjerenu igru koja se kosi sa pravilima Škole i razreda.</w:t>
            </w:r>
          </w:p>
        </w:tc>
        <w:tc>
          <w:tcPr>
            <w:tcW w:w="4374" w:type="dxa"/>
          </w:tcPr>
          <w:p w14:paraId="2E317B2D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Uglavnom primjeren odnos prema prijateljima.</w:t>
            </w:r>
          </w:p>
        </w:tc>
        <w:tc>
          <w:tcPr>
            <w:tcW w:w="4374" w:type="dxa"/>
            <w:shd w:val="clear" w:color="auto" w:fill="auto"/>
          </w:tcPr>
          <w:p w14:paraId="3B4F3009" w14:textId="77777777" w:rsidR="00862F17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Primjeren odnos prema drugim učenicima.</w:t>
            </w:r>
          </w:p>
          <w:p w14:paraId="67F29612" w14:textId="77777777" w:rsidR="00BF0FEB" w:rsidRPr="00040585" w:rsidRDefault="00BF0FEB" w:rsidP="00040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Uvijek želi pomoći drugim učenicima.</w:t>
            </w:r>
          </w:p>
        </w:tc>
      </w:tr>
      <w:tr w:rsidR="00862F17" w:rsidRPr="00040585" w14:paraId="315EEDCD" w14:textId="77777777" w:rsidTr="006634E9">
        <w:tc>
          <w:tcPr>
            <w:tcW w:w="2755" w:type="dxa"/>
          </w:tcPr>
          <w:p w14:paraId="5FCA50E2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starijima</w:t>
            </w:r>
          </w:p>
        </w:tc>
        <w:tc>
          <w:tcPr>
            <w:tcW w:w="4374" w:type="dxa"/>
          </w:tcPr>
          <w:p w14:paraId="6F8DC7DD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2D395A5A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ne odnosi sa poštovanjem.</w:t>
            </w:r>
          </w:p>
          <w:p w14:paraId="0C4C0C49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odraslima (psovke, grube riječi).</w:t>
            </w:r>
          </w:p>
        </w:tc>
        <w:tc>
          <w:tcPr>
            <w:tcW w:w="4374" w:type="dxa"/>
          </w:tcPr>
          <w:p w14:paraId="5C7FFAF9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glavnom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34CC13F9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uglavnom odnosi sa poštovanjem.</w:t>
            </w:r>
          </w:p>
          <w:p w14:paraId="1427186B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3AE075FF" w14:textId="77777777" w:rsidR="00862F17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Uvažava autoritet učitelja.</w:t>
            </w:r>
          </w:p>
          <w:p w14:paraId="501B8928" w14:textId="77777777" w:rsidR="006634E9" w:rsidRPr="00040585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odnosi sa poštovanjem.</w:t>
            </w:r>
          </w:p>
          <w:p w14:paraId="4B69B559" w14:textId="77777777" w:rsidR="00040585" w:rsidRPr="00040585" w:rsidRDefault="00040585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17" w:rsidRPr="00040585" w14:paraId="6C519CD6" w14:textId="77777777" w:rsidTr="006634E9">
        <w:tc>
          <w:tcPr>
            <w:tcW w:w="2755" w:type="dxa"/>
          </w:tcPr>
          <w:p w14:paraId="21D59C7A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 xml:space="preserve">Ponašanje </w:t>
            </w:r>
          </w:p>
        </w:tc>
        <w:tc>
          <w:tcPr>
            <w:tcW w:w="4374" w:type="dxa"/>
          </w:tcPr>
          <w:p w14:paraId="1AE0C758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  <w:p w14:paraId="3C4C3856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Uočeno konfliktno ponašanje.</w:t>
            </w:r>
          </w:p>
          <w:p w14:paraId="531A0C0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Potrebna stalna kontrola emocija.</w:t>
            </w:r>
          </w:p>
          <w:p w14:paraId="294BC7F3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sa vršnjacima ističe se na neprimjerene načine.</w:t>
            </w:r>
          </w:p>
          <w:p w14:paraId="5B428E97" w14:textId="77777777" w:rsidR="00862F17" w:rsidRPr="00040585" w:rsidRDefault="00862F17" w:rsidP="00AF0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2365247A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 w:rsidRPr="0004058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Ponekada dolazi do nepoželjnih oblika ponašanja.</w:t>
            </w:r>
          </w:p>
          <w:p w14:paraId="7A352C31" w14:textId="77777777" w:rsidR="00BF0FEB" w:rsidRDefault="006634E9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rada ponekada živahan/živahna, teško kontrolira svoju energiju.</w:t>
            </w:r>
          </w:p>
          <w:p w14:paraId="64ED45C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nemogućnosti verbaliziranja svojih potreba agresivno nastupa prema učenicima.</w:t>
            </w:r>
          </w:p>
          <w:p w14:paraId="7D9A54AE" w14:textId="77777777" w:rsidR="00AF0116" w:rsidRP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F0116">
              <w:rPr>
                <w:rFonts w:eastAsia="Times New Roman" w:cstheme="minorHAnsi"/>
                <w:sz w:val="24"/>
                <w:szCs w:val="24"/>
                <w:lang w:eastAsia="hr-HR"/>
              </w:rPr>
              <w:t>Ponekada potrebna kontrola emocija.</w:t>
            </w:r>
          </w:p>
          <w:p w14:paraId="24AF874E" w14:textId="77777777" w:rsidR="00862F17" w:rsidRPr="00040585" w:rsidRDefault="00AF0116" w:rsidP="00445146">
            <w:pPr>
              <w:rPr>
                <w:rFonts w:cstheme="minorHAnsi"/>
                <w:sz w:val="24"/>
                <w:szCs w:val="24"/>
              </w:rPr>
            </w:pPr>
            <w:r w:rsidRPr="00AF0116">
              <w:rPr>
                <w:rFonts w:cstheme="minorHAnsi"/>
                <w:color w:val="000000"/>
                <w:sz w:val="24"/>
                <w:szCs w:val="24"/>
              </w:rPr>
              <w:t>U situacijama povećanih tenzija neprimjereno se ponaša (plakanje, lupanje po stolu).</w:t>
            </w:r>
          </w:p>
        </w:tc>
        <w:tc>
          <w:tcPr>
            <w:tcW w:w="4374" w:type="dxa"/>
          </w:tcPr>
          <w:p w14:paraId="7CE68AFB" w14:textId="77777777" w:rsidR="00862F17" w:rsidRPr="001B0479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Izrazito uljudnoga ponašanja.</w:t>
            </w:r>
          </w:p>
          <w:p w14:paraId="336EC29C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Poznaje i slijedi razredna pravila.</w:t>
            </w:r>
          </w:p>
          <w:p w14:paraId="3B2CA53A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Poštuje kućni red Škole.</w:t>
            </w:r>
          </w:p>
          <w:p w14:paraId="3ACB71A5" w14:textId="77777777" w:rsidR="006634E9" w:rsidRPr="001B047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Prihvaća odgovornost za svoje ponašanje.</w:t>
            </w:r>
          </w:p>
          <w:p w14:paraId="29D39D09" w14:textId="77777777" w:rsidR="006634E9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Razvijene socijalne i emocionalne inteligencije.</w:t>
            </w:r>
          </w:p>
          <w:p w14:paraId="363C30CC" w14:textId="77777777" w:rsidR="00AF0116" w:rsidRPr="001B0479" w:rsidRDefault="003003B2" w:rsidP="00AF011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1B0479">
              <w:rPr>
                <w:rFonts w:cstheme="minorHAnsi"/>
                <w:sz w:val="24"/>
                <w:szCs w:val="24"/>
              </w:rPr>
              <w:t>Zrelo i brzo procjenjuje situacije u kojima se nalazi.</w:t>
            </w:r>
            <w:r w:rsidR="00AF0116" w:rsidRPr="001B0479"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  <w:t xml:space="preserve"> </w:t>
            </w:r>
          </w:p>
          <w:p w14:paraId="3E28C35F" w14:textId="77777777" w:rsidR="00AF0116" w:rsidRPr="001B0479" w:rsidRDefault="00AF0116" w:rsidP="00AF01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Izrazito pristojna u ophođenju, marljiva i savjesna. Vesela i energična, omiljena u igri. Uporno i rječito promiče svoje stavove.</w:t>
            </w:r>
          </w:p>
          <w:p w14:paraId="3CDBF55E" w14:textId="77777777" w:rsidR="001B0479" w:rsidRDefault="001B0479" w:rsidP="0044514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Visoko razvijena empatija prema djeci i odraslima. </w:t>
            </w:r>
          </w:p>
          <w:p w14:paraId="5D60F987" w14:textId="77777777" w:rsidR="003003B2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4B993B" w14:textId="77777777" w:rsidR="00AF0116" w:rsidRPr="007823D1" w:rsidRDefault="00AF0116" w:rsidP="00496944">
      <w:pPr>
        <w:rPr>
          <w:rFonts w:cstheme="minorHAnsi"/>
          <w:i/>
          <w:sz w:val="24"/>
          <w:szCs w:val="24"/>
        </w:rPr>
      </w:pPr>
    </w:p>
    <w:p w14:paraId="73E4F938" w14:textId="77777777" w:rsidR="00431946" w:rsidRDefault="00431946" w:rsidP="00445146">
      <w:pPr>
        <w:rPr>
          <w:rFonts w:cstheme="minorHAnsi"/>
          <w:sz w:val="24"/>
          <w:szCs w:val="24"/>
        </w:rPr>
      </w:pPr>
    </w:p>
    <w:sectPr w:rsidR="0043194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71C2D" w14:textId="77777777" w:rsidR="00126054" w:rsidRDefault="00126054" w:rsidP="00394D17">
      <w:pPr>
        <w:spacing w:after="0" w:line="240" w:lineRule="auto"/>
      </w:pPr>
      <w:r>
        <w:separator/>
      </w:r>
    </w:p>
  </w:endnote>
  <w:endnote w:type="continuationSeparator" w:id="0">
    <w:p w14:paraId="71A67866" w14:textId="77777777" w:rsidR="00126054" w:rsidRDefault="00126054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3909A" w14:textId="77777777" w:rsidR="00126054" w:rsidRDefault="00126054" w:rsidP="00394D17">
      <w:pPr>
        <w:spacing w:after="0" w:line="240" w:lineRule="auto"/>
      </w:pPr>
      <w:r>
        <w:separator/>
      </w:r>
    </w:p>
  </w:footnote>
  <w:footnote w:type="continuationSeparator" w:id="0">
    <w:p w14:paraId="39F5D75D" w14:textId="77777777" w:rsidR="00126054" w:rsidRDefault="00126054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14"/>
  </w:num>
  <w:num w:numId="5">
    <w:abstractNumId w:val="16"/>
  </w:num>
  <w:num w:numId="6">
    <w:abstractNumId w:val="11"/>
  </w:num>
  <w:num w:numId="7">
    <w:abstractNumId w:val="20"/>
  </w:num>
  <w:num w:numId="8">
    <w:abstractNumId w:val="10"/>
  </w:num>
  <w:num w:numId="9">
    <w:abstractNumId w:val="29"/>
  </w:num>
  <w:num w:numId="10">
    <w:abstractNumId w:val="26"/>
  </w:num>
  <w:num w:numId="11">
    <w:abstractNumId w:val="21"/>
  </w:num>
  <w:num w:numId="12">
    <w:abstractNumId w:val="27"/>
  </w:num>
  <w:num w:numId="13">
    <w:abstractNumId w:val="19"/>
  </w:num>
  <w:num w:numId="14">
    <w:abstractNumId w:val="15"/>
  </w:num>
  <w:num w:numId="15">
    <w:abstractNumId w:val="6"/>
  </w:num>
  <w:num w:numId="16">
    <w:abstractNumId w:val="9"/>
  </w:num>
  <w:num w:numId="17">
    <w:abstractNumId w:val="22"/>
  </w:num>
  <w:num w:numId="18">
    <w:abstractNumId w:val="4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1"/>
  </w:num>
  <w:num w:numId="24">
    <w:abstractNumId w:val="18"/>
  </w:num>
  <w:num w:numId="25">
    <w:abstractNumId w:val="12"/>
  </w:num>
  <w:num w:numId="26">
    <w:abstractNumId w:val="13"/>
  </w:num>
  <w:num w:numId="27">
    <w:abstractNumId w:val="2"/>
  </w:num>
  <w:num w:numId="28">
    <w:abstractNumId w:val="3"/>
  </w:num>
  <w:num w:numId="29">
    <w:abstractNumId w:val="17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15EC4"/>
    <w:rsid w:val="00021C64"/>
    <w:rsid w:val="00035D87"/>
    <w:rsid w:val="00040585"/>
    <w:rsid w:val="00055FBB"/>
    <w:rsid w:val="00065D9E"/>
    <w:rsid w:val="00066407"/>
    <w:rsid w:val="000716B5"/>
    <w:rsid w:val="000754B4"/>
    <w:rsid w:val="0009350E"/>
    <w:rsid w:val="000A3B74"/>
    <w:rsid w:val="000C64DC"/>
    <w:rsid w:val="000E0DE2"/>
    <w:rsid w:val="00101910"/>
    <w:rsid w:val="0011609C"/>
    <w:rsid w:val="00126054"/>
    <w:rsid w:val="001301DD"/>
    <w:rsid w:val="00136AE8"/>
    <w:rsid w:val="001449A2"/>
    <w:rsid w:val="00163833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D64"/>
    <w:rsid w:val="001C1575"/>
    <w:rsid w:val="001C372C"/>
    <w:rsid w:val="001D1F3C"/>
    <w:rsid w:val="001D6210"/>
    <w:rsid w:val="001F57F9"/>
    <w:rsid w:val="00204968"/>
    <w:rsid w:val="00217138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B7FBC"/>
    <w:rsid w:val="002E2BD0"/>
    <w:rsid w:val="002E4718"/>
    <w:rsid w:val="002F0F76"/>
    <w:rsid w:val="003003B2"/>
    <w:rsid w:val="003252EF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401CB"/>
    <w:rsid w:val="00445146"/>
    <w:rsid w:val="004635F9"/>
    <w:rsid w:val="00487293"/>
    <w:rsid w:val="00490F54"/>
    <w:rsid w:val="00493BE8"/>
    <w:rsid w:val="004967B7"/>
    <w:rsid w:val="00496944"/>
    <w:rsid w:val="004C07AD"/>
    <w:rsid w:val="004D0230"/>
    <w:rsid w:val="0050031C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14DA8"/>
    <w:rsid w:val="00617439"/>
    <w:rsid w:val="006216FF"/>
    <w:rsid w:val="006219C8"/>
    <w:rsid w:val="006239EA"/>
    <w:rsid w:val="006414AD"/>
    <w:rsid w:val="00654FE8"/>
    <w:rsid w:val="0065736B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D77AB"/>
    <w:rsid w:val="006E15FD"/>
    <w:rsid w:val="006E4BA9"/>
    <w:rsid w:val="006E56F9"/>
    <w:rsid w:val="0070655E"/>
    <w:rsid w:val="007257D0"/>
    <w:rsid w:val="007329B7"/>
    <w:rsid w:val="007430F4"/>
    <w:rsid w:val="00743533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62F17"/>
    <w:rsid w:val="008B1F92"/>
    <w:rsid w:val="008B5F3D"/>
    <w:rsid w:val="008D4754"/>
    <w:rsid w:val="008D51F4"/>
    <w:rsid w:val="008E0AC6"/>
    <w:rsid w:val="008E1353"/>
    <w:rsid w:val="008E3E80"/>
    <w:rsid w:val="008E5FB3"/>
    <w:rsid w:val="008E76EA"/>
    <w:rsid w:val="008F287E"/>
    <w:rsid w:val="00904D38"/>
    <w:rsid w:val="009162E1"/>
    <w:rsid w:val="0093002C"/>
    <w:rsid w:val="00931AE0"/>
    <w:rsid w:val="00933AD7"/>
    <w:rsid w:val="009352E7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1674"/>
    <w:rsid w:val="00A03861"/>
    <w:rsid w:val="00A075D0"/>
    <w:rsid w:val="00A220CA"/>
    <w:rsid w:val="00A22929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2B7A"/>
    <w:rsid w:val="00BD5280"/>
    <w:rsid w:val="00BD5488"/>
    <w:rsid w:val="00BF0FEB"/>
    <w:rsid w:val="00BF4827"/>
    <w:rsid w:val="00C10C46"/>
    <w:rsid w:val="00C124A0"/>
    <w:rsid w:val="00C17C57"/>
    <w:rsid w:val="00C3200E"/>
    <w:rsid w:val="00C41F0F"/>
    <w:rsid w:val="00C67FCD"/>
    <w:rsid w:val="00C8062C"/>
    <w:rsid w:val="00C967A0"/>
    <w:rsid w:val="00CC3D94"/>
    <w:rsid w:val="00CE3A92"/>
    <w:rsid w:val="00D03EF9"/>
    <w:rsid w:val="00D20BAB"/>
    <w:rsid w:val="00D24996"/>
    <w:rsid w:val="00D42B7C"/>
    <w:rsid w:val="00D4456E"/>
    <w:rsid w:val="00D606DB"/>
    <w:rsid w:val="00D70041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5656"/>
    <w:rsid w:val="00E070C6"/>
    <w:rsid w:val="00E22465"/>
    <w:rsid w:val="00E2320D"/>
    <w:rsid w:val="00E401B9"/>
    <w:rsid w:val="00E408DA"/>
    <w:rsid w:val="00E44190"/>
    <w:rsid w:val="00E5463E"/>
    <w:rsid w:val="00E603C6"/>
    <w:rsid w:val="00E64D25"/>
    <w:rsid w:val="00E75999"/>
    <w:rsid w:val="00E94CB5"/>
    <w:rsid w:val="00EC0158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93520"/>
    <w:rsid w:val="00F96AB9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9CF8E-1974-48EF-967E-D54EF6C3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20528</Words>
  <Characters>117016</Characters>
  <Application>Microsoft Office Word</Application>
  <DocSecurity>0</DocSecurity>
  <Lines>975</Lines>
  <Paragraphs>274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Korisnik</cp:lastModifiedBy>
  <cp:revision>2</cp:revision>
  <cp:lastPrinted>2019-08-28T17:14:00Z</cp:lastPrinted>
  <dcterms:created xsi:type="dcterms:W3CDTF">2025-09-04T11:22:00Z</dcterms:created>
  <dcterms:modified xsi:type="dcterms:W3CDTF">2025-09-04T11:22:00Z</dcterms:modified>
</cp:coreProperties>
</file>